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27B" w:rsidRDefault="00F3327B">
      <w:pPr>
        <w:pStyle w:val="Heading1"/>
        <w:tabs>
          <w:tab w:val="left" w:pos="3600"/>
        </w:tabs>
        <w:spacing w:line="240" w:lineRule="auto"/>
      </w:pPr>
    </w:p>
    <w:p w:rsidR="00F3327B" w:rsidRDefault="00662EC4">
      <w:pPr>
        <w:pStyle w:val="Heading1"/>
        <w:tabs>
          <w:tab w:val="left" w:pos="360"/>
          <w:tab w:val="left" w:pos="3600"/>
        </w:tabs>
        <w:spacing w:line="240" w:lineRule="auto"/>
        <w:rPr>
          <w:sz w:val="28"/>
        </w:rPr>
      </w:pPr>
      <w:r>
        <w:rPr>
          <w:noProof/>
        </w:rPr>
        <w:drawing>
          <wp:anchor distT="0" distB="0" distL="114300" distR="114300" simplePos="0" relativeHeight="251659264" behindDoc="0" locked="0" layoutInCell="1" allowOverlap="1">
            <wp:simplePos x="0" y="0"/>
            <wp:positionH relativeFrom="column">
              <wp:posOffset>5715</wp:posOffset>
            </wp:positionH>
            <wp:positionV relativeFrom="paragraph">
              <wp:posOffset>51435</wp:posOffset>
            </wp:positionV>
            <wp:extent cx="1551940" cy="306070"/>
            <wp:effectExtent l="19050" t="0" r="0" b="0"/>
            <wp:wrapNone/>
            <wp:docPr id="12" name="Picture 12" descr="hb_wordmark_black_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b_wordmark_black_solid"/>
                    <pic:cNvPicPr>
                      <a:picLocks noChangeAspect="1" noChangeArrowheads="1"/>
                    </pic:cNvPicPr>
                  </pic:nvPicPr>
                  <pic:blipFill>
                    <a:blip r:embed="rId8" cstate="print"/>
                    <a:srcRect/>
                    <a:stretch>
                      <a:fillRect/>
                    </a:stretch>
                  </pic:blipFill>
                  <pic:spPr bwMode="auto">
                    <a:xfrm>
                      <a:off x="0" y="0"/>
                      <a:ext cx="1551940" cy="306070"/>
                    </a:xfrm>
                    <a:prstGeom prst="rect">
                      <a:avLst/>
                    </a:prstGeom>
                    <a:noFill/>
                    <a:ln w="9525">
                      <a:noFill/>
                      <a:miter lim="800000"/>
                      <a:headEnd/>
                      <a:tailEnd/>
                    </a:ln>
                  </pic:spPr>
                </pic:pic>
              </a:graphicData>
            </a:graphic>
          </wp:anchor>
        </w:drawing>
      </w:r>
      <w:r w:rsidR="009D2717">
        <w:rPr>
          <w:noProof/>
        </w:rPr>
        <w:pict>
          <v:rect id="_x0000_s1029" style="position:absolute;margin-left:136.8pt;margin-top:3.6pt;width:345.6pt;height:28.8pt;z-index:251656192;mso-position-horizontal-relative:text;mso-position-vertical-relative:text" o:allowincell="f" fillcolor="silver">
            <v:textbox>
              <w:txbxContent>
                <w:p w:rsidR="00F3327B" w:rsidRDefault="00F3327B">
                  <w:pPr>
                    <w:pStyle w:val="Heading5"/>
                  </w:pPr>
                  <w:r>
                    <w:t>Giving Gifts of Stock – Donor Instructions</w:t>
                  </w:r>
                </w:p>
              </w:txbxContent>
            </v:textbox>
          </v:rect>
        </w:pict>
      </w:r>
      <w:r w:rsidR="00F3327B">
        <w:tab/>
      </w:r>
    </w:p>
    <w:p w:rsidR="00F3327B" w:rsidRDefault="00F3327B">
      <w:pPr>
        <w:pStyle w:val="Header"/>
        <w:tabs>
          <w:tab w:val="clear" w:pos="4320"/>
          <w:tab w:val="clear" w:pos="8640"/>
        </w:tabs>
      </w:pPr>
      <w:r>
        <w:tab/>
      </w:r>
      <w:r>
        <w:tab/>
      </w:r>
      <w:r>
        <w:tab/>
      </w:r>
      <w:r>
        <w:tab/>
      </w:r>
      <w:r>
        <w:tab/>
      </w:r>
      <w:proofErr w:type="spellStart"/>
      <w:proofErr w:type="gramStart"/>
      <w:r>
        <w:t>iving</w:t>
      </w:r>
      <w:proofErr w:type="spellEnd"/>
      <w:proofErr w:type="gramEnd"/>
    </w:p>
    <w:p w:rsidR="00F3327B" w:rsidRDefault="00F3327B"/>
    <w:p w:rsidR="00F3327B" w:rsidRDefault="00F3327B"/>
    <w:p w:rsidR="00F3327B" w:rsidRDefault="00F3327B">
      <w:pPr>
        <w:pStyle w:val="BodyText"/>
      </w:pPr>
      <w:r>
        <w:t>The donor initiates the stock transaction and usually works through a broker or bank.  The stock is transferred to Hathaway Brown by one of the following options:</w:t>
      </w:r>
    </w:p>
    <w:p w:rsidR="00F3327B" w:rsidRDefault="00F3327B"/>
    <w:p w:rsidR="00F3327B" w:rsidRDefault="00F3327B">
      <w:pPr>
        <w:pStyle w:val="Heading3"/>
        <w:tabs>
          <w:tab w:val="clear" w:pos="720"/>
        </w:tabs>
      </w:pPr>
      <w:r>
        <w:t>If your stock is held by a broker</w:t>
      </w:r>
    </w:p>
    <w:p w:rsidR="00F3327B" w:rsidRDefault="00F3327B">
      <w:pPr>
        <w:numPr>
          <w:ilvl w:val="1"/>
          <w:numId w:val="2"/>
        </w:numPr>
        <w:spacing w:after="120"/>
      </w:pPr>
      <w:r>
        <w:t xml:space="preserve">Notify your broker that you wish to make a gift of securities to </w:t>
      </w:r>
      <w:smartTag w:uri="urn:schemas-microsoft-com:office:smarttags" w:element="place">
        <w:smartTag w:uri="urn:schemas-microsoft-com:office:smarttags" w:element="PlaceName">
          <w:r>
            <w:t>Hathaway</w:t>
          </w:r>
        </w:smartTag>
        <w:r>
          <w:t xml:space="preserve"> </w:t>
        </w:r>
        <w:smartTag w:uri="urn:schemas-microsoft-com:office:smarttags" w:element="PlaceName">
          <w:r>
            <w:t>Brown</w:t>
          </w:r>
        </w:smartTag>
        <w:r>
          <w:t xml:space="preserve"> </w:t>
        </w:r>
        <w:smartTag w:uri="urn:schemas-microsoft-com:office:smarttags" w:element="PlaceType">
          <w:r>
            <w:t>School</w:t>
          </w:r>
        </w:smartTag>
      </w:smartTag>
      <w:r>
        <w:t>.</w:t>
      </w:r>
    </w:p>
    <w:p w:rsidR="00F3327B" w:rsidRDefault="00F3327B">
      <w:pPr>
        <w:numPr>
          <w:ilvl w:val="1"/>
          <w:numId w:val="2"/>
        </w:numPr>
        <w:spacing w:after="120"/>
      </w:pPr>
      <w:r>
        <w:t>Your broker will need written authorization from you to make the transfer.</w:t>
      </w:r>
    </w:p>
    <w:p w:rsidR="00F3327B" w:rsidRDefault="00F3327B">
      <w:pPr>
        <w:numPr>
          <w:ilvl w:val="2"/>
          <w:numId w:val="2"/>
        </w:numPr>
        <w:spacing w:after="120"/>
      </w:pPr>
      <w:r>
        <w:t>Write a letter to your broker.  In your letter include:</w:t>
      </w:r>
    </w:p>
    <w:p w:rsidR="00F3327B" w:rsidRDefault="00F3327B">
      <w:pPr>
        <w:numPr>
          <w:ilvl w:val="3"/>
          <w:numId w:val="2"/>
        </w:numPr>
        <w:spacing w:after="120"/>
      </w:pPr>
      <w:r>
        <w:t>the name of the stock that you are giving</w:t>
      </w:r>
    </w:p>
    <w:p w:rsidR="00F3327B" w:rsidRDefault="00F3327B">
      <w:pPr>
        <w:numPr>
          <w:ilvl w:val="3"/>
          <w:numId w:val="2"/>
        </w:numPr>
        <w:spacing w:after="120"/>
      </w:pPr>
      <w:r>
        <w:t>the number of shares</w:t>
      </w:r>
    </w:p>
    <w:p w:rsidR="00F3327B" w:rsidRDefault="00F3327B">
      <w:pPr>
        <w:numPr>
          <w:ilvl w:val="3"/>
          <w:numId w:val="2"/>
        </w:numPr>
        <w:spacing w:after="120"/>
      </w:pPr>
      <w:r>
        <w:t>where you would like your gift to be designated when it comes to HB</w:t>
      </w:r>
    </w:p>
    <w:p w:rsidR="00F3327B" w:rsidRDefault="00F3327B">
      <w:pPr>
        <w:numPr>
          <w:ilvl w:val="3"/>
          <w:numId w:val="2"/>
        </w:numPr>
        <w:spacing w:after="120"/>
      </w:pPr>
      <w:r>
        <w:t xml:space="preserve">a copy of the </w:t>
      </w:r>
      <w:r>
        <w:rPr>
          <w:i/>
        </w:rPr>
        <w:t>Broker Stock Transfer Instructions</w:t>
      </w:r>
      <w:r>
        <w:t xml:space="preserve"> form, if current (see attached)</w:t>
      </w:r>
    </w:p>
    <w:p w:rsidR="00F3327B" w:rsidRDefault="00F3327B">
      <w:pPr>
        <w:numPr>
          <w:ilvl w:val="2"/>
          <w:numId w:val="2"/>
        </w:numPr>
        <w:spacing w:after="120"/>
      </w:pPr>
      <w:r>
        <w:t xml:space="preserve">Send a copy of this letter to the Advancement Office c/o </w:t>
      </w:r>
      <w:smartTag w:uri="urn:schemas-microsoft-com:office:smarttags" w:element="place">
        <w:smartTag w:uri="urn:schemas-microsoft-com:office:smarttags" w:element="PlaceName">
          <w:r>
            <w:t>Hathaway</w:t>
          </w:r>
        </w:smartTag>
        <w:r>
          <w:t xml:space="preserve"> </w:t>
        </w:r>
        <w:smartTag w:uri="urn:schemas-microsoft-com:office:smarttags" w:element="PlaceName">
          <w:r>
            <w:t>Brown</w:t>
          </w:r>
        </w:smartTag>
        <w:r>
          <w:t xml:space="preserve"> </w:t>
        </w:r>
        <w:smartTag w:uri="urn:schemas-microsoft-com:office:smarttags" w:element="PlaceType">
          <w:r>
            <w:t>School</w:t>
          </w:r>
        </w:smartTag>
      </w:smartTag>
      <w:r>
        <w:t xml:space="preserve">; </w:t>
      </w:r>
      <w:smartTag w:uri="urn:schemas-microsoft-com:office:smarttags" w:element="Street">
        <w:smartTag w:uri="urn:schemas-microsoft-com:office:smarttags" w:element="address">
          <w:r>
            <w:t>19600 North Park Boulevard</w:t>
          </w:r>
        </w:smartTag>
      </w:smartTag>
      <w:r>
        <w:t xml:space="preserve">; </w:t>
      </w:r>
      <w:smartTag w:uri="urn:schemas-microsoft-com:office:smarttags" w:element="place">
        <w:smartTag w:uri="urn:schemas-microsoft-com:office:smarttags" w:element="City">
          <w:r>
            <w:t>Shaker Heights</w:t>
          </w:r>
        </w:smartTag>
        <w:r>
          <w:t xml:space="preserve">, </w:t>
        </w:r>
        <w:smartTag w:uri="urn:schemas-microsoft-com:office:smarttags" w:element="State">
          <w:r>
            <w:t>OH</w:t>
          </w:r>
        </w:smartTag>
        <w:r>
          <w:t xml:space="preserve">  </w:t>
        </w:r>
        <w:smartTag w:uri="urn:schemas-microsoft-com:office:smarttags" w:element="PostalCode">
          <w:r>
            <w:t>44122-1899</w:t>
          </w:r>
        </w:smartTag>
      </w:smartTag>
      <w:r>
        <w:t xml:space="preserve"> or fax the letter to (216) 397-0798.</w:t>
      </w:r>
    </w:p>
    <w:p w:rsidR="00F3327B" w:rsidRDefault="00F3327B">
      <w:pPr>
        <w:numPr>
          <w:ilvl w:val="1"/>
          <w:numId w:val="2"/>
        </w:numPr>
      </w:pPr>
      <w:r>
        <w:t xml:space="preserve">When you have authorized the transfer, ask your broker to contact the Advancement Office at (216) </w:t>
      </w:r>
      <w:r w:rsidR="00C2448A">
        <w:t>320-8115</w:t>
      </w:r>
      <w:r>
        <w:t xml:space="preserve"> if you did not already provide them with a current copy of the attached</w:t>
      </w:r>
      <w:r>
        <w:rPr>
          <w:i/>
        </w:rPr>
        <w:t xml:space="preserve"> Broker Stock Transfer Instructions</w:t>
      </w:r>
      <w:r>
        <w:t xml:space="preserve"> form.  Our office will give your broker complete transfer instructions.  Even if you have donated securities in the past, please be sure your broker contacts HB before making the transfer or uses </w:t>
      </w:r>
      <w:r>
        <w:rPr>
          <w:i/>
        </w:rPr>
        <w:t>Broker Stock Transfer Instructions</w:t>
      </w:r>
      <w:r>
        <w:t xml:space="preserve"> per the footnote at the bottom of these pages.  Transfer instructions may change from the previous year so please make certain they have current instructions.</w:t>
      </w:r>
    </w:p>
    <w:p w:rsidR="00F3327B" w:rsidRDefault="00F3327B">
      <w:pPr>
        <w:numPr>
          <w:ilvl w:val="0"/>
          <w:numId w:val="2"/>
        </w:numPr>
        <w:tabs>
          <w:tab w:val="clear" w:pos="720"/>
          <w:tab w:val="num" w:pos="360"/>
        </w:tabs>
        <w:spacing w:before="240" w:after="120"/>
      </w:pPr>
      <w:r>
        <w:rPr>
          <w:b/>
        </w:rPr>
        <w:t>If your stock is not held by a broker</w:t>
      </w:r>
    </w:p>
    <w:p w:rsidR="00F3327B" w:rsidRDefault="00F3327B">
      <w:pPr>
        <w:numPr>
          <w:ilvl w:val="1"/>
          <w:numId w:val="2"/>
        </w:numPr>
        <w:spacing w:after="120"/>
      </w:pPr>
      <w:r>
        <w:t>You can deliver them to the School in person or by mail. Our broker requires a Stock or Bond Power and a disclaimer form, both of which we can provide to the donor.</w:t>
      </w:r>
    </w:p>
    <w:p w:rsidR="00F3327B" w:rsidRDefault="00F3327B">
      <w:pPr>
        <w:numPr>
          <w:ilvl w:val="2"/>
          <w:numId w:val="2"/>
        </w:numPr>
        <w:spacing w:after="120"/>
      </w:pPr>
      <w:r>
        <w:t>The Disclaimer must be notarized; if delivered in person, a notary on staff at HB can notarize the Disclaimer.</w:t>
      </w:r>
    </w:p>
    <w:p w:rsidR="00F3327B" w:rsidRDefault="00F3327B">
      <w:pPr>
        <w:numPr>
          <w:ilvl w:val="2"/>
          <w:numId w:val="2"/>
        </w:numPr>
        <w:spacing w:after="120"/>
      </w:pPr>
      <w:r>
        <w:t xml:space="preserve">If mailing, send your </w:t>
      </w:r>
      <w:r>
        <w:rPr>
          <w:b/>
          <w:u w:val="single"/>
        </w:rPr>
        <w:t>unendorsed</w:t>
      </w:r>
      <w:r>
        <w:t xml:space="preserve"> certificate(s) and a cover letter in one envelope and the completed Stock Power and notarized Disclaimer in another.  The cover letter should include</w:t>
      </w:r>
    </w:p>
    <w:p w:rsidR="00F3327B" w:rsidRDefault="00F3327B">
      <w:pPr>
        <w:numPr>
          <w:ilvl w:val="3"/>
          <w:numId w:val="2"/>
        </w:numPr>
        <w:spacing w:after="120"/>
      </w:pPr>
      <w:r>
        <w:t>Your name and address</w:t>
      </w:r>
    </w:p>
    <w:p w:rsidR="00F3327B" w:rsidRDefault="00F3327B">
      <w:pPr>
        <w:numPr>
          <w:ilvl w:val="3"/>
          <w:numId w:val="2"/>
        </w:numPr>
        <w:spacing w:after="120"/>
      </w:pPr>
      <w:r>
        <w:t>The purpose of the gift (i.e. annual fund or restricted for a specific purpose)</w:t>
      </w:r>
    </w:p>
    <w:p w:rsidR="00F3327B" w:rsidRDefault="00F3327B">
      <w:pPr>
        <w:numPr>
          <w:ilvl w:val="2"/>
          <w:numId w:val="2"/>
        </w:numPr>
        <w:spacing w:after="120"/>
      </w:pPr>
      <w:r>
        <w:t>The School will then deposit the stock with its broker and direct the disposition.</w:t>
      </w:r>
    </w:p>
    <w:p w:rsidR="00F3327B" w:rsidRDefault="00F3327B">
      <w:pPr>
        <w:numPr>
          <w:ilvl w:val="2"/>
          <w:numId w:val="2"/>
        </w:numPr>
        <w:spacing w:after="120"/>
      </w:pPr>
      <w:r>
        <w:t xml:space="preserve">Do </w:t>
      </w:r>
      <w:r>
        <w:rPr>
          <w:b/>
          <w:smallCaps/>
          <w:sz w:val="28"/>
        </w:rPr>
        <w:t>not</w:t>
      </w:r>
      <w:r>
        <w:t xml:space="preserve"> mail </w:t>
      </w:r>
      <w:r>
        <w:rPr>
          <w:b/>
          <w:u w:val="single"/>
        </w:rPr>
        <w:t>endorsed</w:t>
      </w:r>
      <w:r>
        <w:t xml:space="preserve"> certificates.  Once endorsed, a certificate is legal tender and can be exchanged by whoever is the bearer.</w:t>
      </w:r>
    </w:p>
    <w:p w:rsidR="00F3327B" w:rsidRDefault="00F3327B">
      <w:pPr>
        <w:numPr>
          <w:ilvl w:val="2"/>
          <w:numId w:val="2"/>
        </w:numPr>
      </w:pPr>
      <w:r>
        <w:t xml:space="preserve">It is strongly recommended that certificates </w:t>
      </w:r>
      <w:r>
        <w:rPr>
          <w:b/>
          <w:smallCaps/>
          <w:sz w:val="28"/>
        </w:rPr>
        <w:t>not</w:t>
      </w:r>
      <w:r>
        <w:t xml:space="preserve"> be registered in the School’s name.</w:t>
      </w:r>
    </w:p>
    <w:p w:rsidR="00F3327B" w:rsidRDefault="00F3327B">
      <w:pPr>
        <w:sectPr w:rsidR="00F3327B">
          <w:footerReference w:type="default" r:id="rId9"/>
          <w:pgSz w:w="12240" w:h="15840" w:code="1"/>
          <w:pgMar w:top="360" w:right="1440" w:bottom="720" w:left="1152" w:header="720" w:footer="360" w:gutter="0"/>
          <w:paperSrc w:first="260" w:other="260"/>
          <w:cols w:space="720"/>
        </w:sectPr>
      </w:pPr>
    </w:p>
    <w:p w:rsidR="00F3327B" w:rsidRDefault="00F3327B">
      <w:pPr>
        <w:pStyle w:val="Heading1"/>
        <w:tabs>
          <w:tab w:val="left" w:pos="3600"/>
        </w:tabs>
        <w:spacing w:line="240" w:lineRule="auto"/>
      </w:pPr>
    </w:p>
    <w:p w:rsidR="00F3327B" w:rsidRDefault="00662EC4">
      <w:pPr>
        <w:pStyle w:val="Heading1"/>
        <w:tabs>
          <w:tab w:val="left" w:pos="360"/>
          <w:tab w:val="left" w:pos="3600"/>
        </w:tabs>
        <w:spacing w:line="240" w:lineRule="auto"/>
        <w:rPr>
          <w:sz w:val="28"/>
        </w:rPr>
      </w:pPr>
      <w:r>
        <w:rPr>
          <w:noProof/>
        </w:rPr>
        <w:drawing>
          <wp:anchor distT="0" distB="0" distL="114300" distR="114300" simplePos="0" relativeHeight="251658240" behindDoc="0" locked="0" layoutInCell="1" allowOverlap="1">
            <wp:simplePos x="0" y="0"/>
            <wp:positionH relativeFrom="column">
              <wp:posOffset>-14605</wp:posOffset>
            </wp:positionH>
            <wp:positionV relativeFrom="paragraph">
              <wp:posOffset>88265</wp:posOffset>
            </wp:positionV>
            <wp:extent cx="1551940" cy="306070"/>
            <wp:effectExtent l="19050" t="0" r="0" b="0"/>
            <wp:wrapNone/>
            <wp:docPr id="11" name="Picture 11" descr="hb_wordmark_black_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b_wordmark_black_solid"/>
                    <pic:cNvPicPr>
                      <a:picLocks noChangeAspect="1" noChangeArrowheads="1"/>
                    </pic:cNvPicPr>
                  </pic:nvPicPr>
                  <pic:blipFill>
                    <a:blip r:embed="rId8" cstate="print"/>
                    <a:srcRect/>
                    <a:stretch>
                      <a:fillRect/>
                    </a:stretch>
                  </pic:blipFill>
                  <pic:spPr bwMode="auto">
                    <a:xfrm>
                      <a:off x="0" y="0"/>
                      <a:ext cx="1551940" cy="306070"/>
                    </a:xfrm>
                    <a:prstGeom prst="rect">
                      <a:avLst/>
                    </a:prstGeom>
                    <a:noFill/>
                    <a:ln w="9525">
                      <a:noFill/>
                      <a:miter lim="800000"/>
                      <a:headEnd/>
                      <a:tailEnd/>
                    </a:ln>
                  </pic:spPr>
                </pic:pic>
              </a:graphicData>
            </a:graphic>
          </wp:anchor>
        </w:drawing>
      </w:r>
      <w:r w:rsidR="009D2717">
        <w:rPr>
          <w:noProof/>
        </w:rPr>
        <w:pict>
          <v:rect id="_x0000_s1034" style="position:absolute;margin-left:136.8pt;margin-top:3.6pt;width:331.2pt;height:28.8pt;z-index:251657216;mso-position-horizontal-relative:text;mso-position-vertical-relative:text" o:allowincell="f" fillcolor="silver">
            <v:textbox>
              <w:txbxContent>
                <w:p w:rsidR="00F3327B" w:rsidRDefault="00F3327B">
                  <w:pPr>
                    <w:pStyle w:val="Heading5"/>
                  </w:pPr>
                  <w:r>
                    <w:t>Broker Stock Transfer Instructions</w:t>
                  </w:r>
                </w:p>
              </w:txbxContent>
            </v:textbox>
          </v:rect>
        </w:pict>
      </w:r>
      <w:r w:rsidR="00F3327B">
        <w:tab/>
      </w:r>
    </w:p>
    <w:p w:rsidR="00F3327B" w:rsidRDefault="00F3327B">
      <w:pPr>
        <w:pStyle w:val="Header"/>
        <w:tabs>
          <w:tab w:val="clear" w:pos="4320"/>
          <w:tab w:val="clear" w:pos="8640"/>
        </w:tabs>
      </w:pPr>
      <w:r>
        <w:tab/>
      </w:r>
      <w:r>
        <w:tab/>
      </w:r>
      <w:r>
        <w:tab/>
      </w:r>
      <w:r>
        <w:tab/>
      </w:r>
      <w:r>
        <w:tab/>
      </w:r>
      <w:proofErr w:type="spellStart"/>
      <w:proofErr w:type="gramStart"/>
      <w:r>
        <w:t>iving</w:t>
      </w:r>
      <w:proofErr w:type="spellEnd"/>
      <w:proofErr w:type="gramEnd"/>
    </w:p>
    <w:p w:rsidR="00F3327B" w:rsidRDefault="00F3327B"/>
    <w:p w:rsidR="00F3327B" w:rsidRDefault="00F3327B"/>
    <w:p w:rsidR="00F3327B" w:rsidRDefault="00F3327B" w:rsidP="00340361">
      <w:pPr>
        <w:pStyle w:val="Heading6"/>
        <w:jc w:val="center"/>
        <w:rPr>
          <w:u w:val="single"/>
        </w:rPr>
      </w:pPr>
      <w:r w:rsidRPr="00340361">
        <w:rPr>
          <w:u w:val="single"/>
        </w:rPr>
        <w:t>Instructions for Gifts to Vision for</w:t>
      </w:r>
      <w:r>
        <w:rPr>
          <w:u w:val="single"/>
        </w:rPr>
        <w:t xml:space="preserve"> Leadership in the 21st Century</w:t>
      </w:r>
    </w:p>
    <w:p w:rsidR="00F3327B" w:rsidRDefault="00F3327B">
      <w:pPr>
        <w:pStyle w:val="Header"/>
        <w:tabs>
          <w:tab w:val="clear" w:pos="4320"/>
          <w:tab w:val="clear" w:pos="8640"/>
        </w:tabs>
      </w:pPr>
    </w:p>
    <w:p w:rsidR="00F3327B" w:rsidRDefault="00F3327B">
      <w:pPr>
        <w:tabs>
          <w:tab w:val="right" w:pos="2430"/>
          <w:tab w:val="left" w:pos="2880"/>
        </w:tabs>
        <w:ind w:left="720"/>
      </w:pPr>
      <w:r>
        <w:rPr>
          <w:b/>
        </w:rPr>
        <w:tab/>
        <w:t>Stockbroker:</w:t>
      </w:r>
      <w:r>
        <w:tab/>
      </w:r>
      <w:r w:rsidR="00662EC4">
        <w:t>PNC Institutional Investments</w:t>
      </w:r>
    </w:p>
    <w:p w:rsidR="00F3327B" w:rsidRDefault="00F3327B">
      <w:pPr>
        <w:pStyle w:val="Header"/>
        <w:tabs>
          <w:tab w:val="clear" w:pos="4320"/>
          <w:tab w:val="clear" w:pos="8640"/>
          <w:tab w:val="right" w:pos="2430"/>
          <w:tab w:val="left" w:pos="2880"/>
        </w:tabs>
        <w:ind w:left="720"/>
      </w:pPr>
      <w:r>
        <w:tab/>
      </w:r>
      <w:r>
        <w:tab/>
        <w:t>Cleveland</w:t>
      </w:r>
      <w:r w:rsidR="00C2448A">
        <w:t>,</w:t>
      </w:r>
      <w:r>
        <w:t xml:space="preserve"> OH</w:t>
      </w:r>
    </w:p>
    <w:p w:rsidR="00F3327B" w:rsidRDefault="00F3327B">
      <w:pPr>
        <w:tabs>
          <w:tab w:val="right" w:pos="2430"/>
          <w:tab w:val="left" w:pos="2880"/>
        </w:tabs>
        <w:ind w:left="720"/>
      </w:pPr>
    </w:p>
    <w:p w:rsidR="00F3327B" w:rsidRDefault="00F3327B">
      <w:pPr>
        <w:tabs>
          <w:tab w:val="right" w:pos="2430"/>
          <w:tab w:val="left" w:pos="2880"/>
          <w:tab w:val="left" w:pos="4680"/>
        </w:tabs>
        <w:ind w:left="720"/>
      </w:pPr>
      <w:r>
        <w:rPr>
          <w:b/>
        </w:rPr>
        <w:tab/>
      </w:r>
      <w:bookmarkStart w:id="0" w:name="_GoBack"/>
      <w:r>
        <w:rPr>
          <w:b/>
        </w:rPr>
        <w:t>Contact:</w:t>
      </w:r>
      <w:r>
        <w:tab/>
      </w:r>
      <w:r w:rsidR="009D2717">
        <w:t>Dale Schnitzler</w:t>
      </w:r>
      <w:r w:rsidR="006527CD">
        <w:t xml:space="preserve">     </w:t>
      </w:r>
      <w:r>
        <w:t xml:space="preserve">(216) </w:t>
      </w:r>
      <w:r w:rsidR="00A5397A">
        <w:t>222-</w:t>
      </w:r>
      <w:r w:rsidR="009D2717">
        <w:t>2700 (work)</w:t>
      </w:r>
      <w:proofErr w:type="gramStart"/>
      <w:r w:rsidR="009D2717">
        <w:t>/(</w:t>
      </w:r>
      <w:proofErr w:type="gramEnd"/>
      <w:r w:rsidR="009D2717">
        <w:t>866) 301-8460 (fax)</w:t>
      </w:r>
      <w:bookmarkEnd w:id="0"/>
    </w:p>
    <w:p w:rsidR="00F3327B" w:rsidRDefault="00F3327B">
      <w:pPr>
        <w:tabs>
          <w:tab w:val="right" w:pos="2430"/>
          <w:tab w:val="left" w:pos="2880"/>
        </w:tabs>
        <w:ind w:left="720"/>
      </w:pPr>
    </w:p>
    <w:p w:rsidR="00F3327B" w:rsidRDefault="00F3327B">
      <w:pPr>
        <w:tabs>
          <w:tab w:val="right" w:pos="2430"/>
          <w:tab w:val="left" w:pos="2880"/>
        </w:tabs>
        <w:ind w:left="720"/>
      </w:pPr>
      <w:r>
        <w:rPr>
          <w:b/>
        </w:rPr>
        <w:tab/>
        <w:t>DTC No.:</w:t>
      </w:r>
      <w:r>
        <w:tab/>
        <w:t>2</w:t>
      </w:r>
      <w:r w:rsidR="00805A3D">
        <w:t>6</w:t>
      </w:r>
      <w:r>
        <w:t>16</w:t>
      </w:r>
    </w:p>
    <w:p w:rsidR="00F3327B" w:rsidRDefault="00F3327B">
      <w:pPr>
        <w:tabs>
          <w:tab w:val="right" w:pos="2430"/>
          <w:tab w:val="left" w:pos="2880"/>
        </w:tabs>
        <w:ind w:left="720"/>
      </w:pPr>
    </w:p>
    <w:p w:rsidR="00F3327B" w:rsidRDefault="00F3327B">
      <w:pPr>
        <w:tabs>
          <w:tab w:val="right" w:pos="2430"/>
          <w:tab w:val="left" w:pos="2880"/>
        </w:tabs>
        <w:ind w:left="720"/>
      </w:pPr>
      <w:r>
        <w:rPr>
          <w:b/>
        </w:rPr>
        <w:tab/>
        <w:t>Title of Account:</w:t>
      </w:r>
      <w:r>
        <w:tab/>
      </w:r>
      <w:smartTag w:uri="urn:schemas-microsoft-com:office:smarttags" w:element="place">
        <w:smartTag w:uri="urn:schemas-microsoft-com:office:smarttags" w:element="PlaceName">
          <w:r>
            <w:t>Hathaway</w:t>
          </w:r>
        </w:smartTag>
        <w:r>
          <w:t xml:space="preserve"> </w:t>
        </w:r>
        <w:smartTag w:uri="urn:schemas-microsoft-com:office:smarttags" w:element="PlaceName">
          <w:r>
            <w:t>Brown</w:t>
          </w:r>
        </w:smartTag>
        <w:r>
          <w:t xml:space="preserve"> </w:t>
        </w:r>
        <w:smartTag w:uri="urn:schemas-microsoft-com:office:smarttags" w:element="PlaceType">
          <w:r>
            <w:t>School</w:t>
          </w:r>
        </w:smartTag>
      </w:smartTag>
    </w:p>
    <w:p w:rsidR="00F3327B" w:rsidRDefault="00F3327B">
      <w:pPr>
        <w:pStyle w:val="Header"/>
        <w:tabs>
          <w:tab w:val="clear" w:pos="4320"/>
          <w:tab w:val="clear" w:pos="8640"/>
          <w:tab w:val="right" w:pos="2430"/>
          <w:tab w:val="left" w:pos="2880"/>
        </w:tabs>
        <w:ind w:left="720"/>
      </w:pPr>
    </w:p>
    <w:p w:rsidR="00662EC4" w:rsidRDefault="00F3327B">
      <w:pPr>
        <w:tabs>
          <w:tab w:val="right" w:pos="2430"/>
          <w:tab w:val="left" w:pos="2880"/>
          <w:tab w:val="left" w:pos="4860"/>
          <w:tab w:val="left" w:pos="7380"/>
        </w:tabs>
        <w:ind w:left="720"/>
      </w:pPr>
      <w:r>
        <w:rPr>
          <w:b/>
        </w:rPr>
        <w:tab/>
        <w:t>Vision Acct. No.:</w:t>
      </w:r>
      <w:r w:rsidR="00662EC4">
        <w:t xml:space="preserve">  21-75-073-9617381 </w:t>
      </w:r>
    </w:p>
    <w:p w:rsidR="00F3327B" w:rsidRDefault="00F3327B">
      <w:pPr>
        <w:tabs>
          <w:tab w:val="right" w:pos="2430"/>
          <w:tab w:val="left" w:pos="2880"/>
          <w:tab w:val="left" w:pos="4860"/>
          <w:tab w:val="left" w:pos="7380"/>
        </w:tabs>
        <w:ind w:left="720"/>
      </w:pPr>
      <w:r>
        <w:tab/>
      </w:r>
    </w:p>
    <w:p w:rsidR="00F3327B" w:rsidRDefault="00F3327B">
      <w:pPr>
        <w:tabs>
          <w:tab w:val="right" w:pos="2430"/>
          <w:tab w:val="left" w:pos="2880"/>
        </w:tabs>
      </w:pPr>
    </w:p>
    <w:p w:rsidR="00B70BBF" w:rsidRDefault="00B70BBF">
      <w:pPr>
        <w:tabs>
          <w:tab w:val="right" w:pos="2430"/>
          <w:tab w:val="left" w:pos="2880"/>
        </w:tabs>
      </w:pPr>
    </w:p>
    <w:p w:rsidR="00B70BBF" w:rsidRPr="00B70BBF" w:rsidRDefault="00B70BBF">
      <w:pPr>
        <w:tabs>
          <w:tab w:val="right" w:pos="2430"/>
          <w:tab w:val="left" w:pos="2880"/>
        </w:tabs>
        <w:rPr>
          <w:sz w:val="16"/>
          <w:szCs w:val="16"/>
        </w:rPr>
      </w:pPr>
      <w:r w:rsidRPr="00B70BBF">
        <w:rPr>
          <w:sz w:val="16"/>
          <w:szCs w:val="16"/>
        </w:rPr>
        <w:t xml:space="preserve">Rev. </w:t>
      </w:r>
      <w:r w:rsidR="009D2717">
        <w:rPr>
          <w:sz w:val="16"/>
          <w:szCs w:val="16"/>
        </w:rPr>
        <w:t>08/27/2014</w:t>
      </w:r>
    </w:p>
    <w:p w:rsidR="00B70BBF" w:rsidRDefault="00B70BBF">
      <w:pPr>
        <w:tabs>
          <w:tab w:val="right" w:pos="2430"/>
          <w:tab w:val="left" w:pos="2880"/>
        </w:tabs>
      </w:pPr>
    </w:p>
    <w:sectPr w:rsidR="00B70BBF" w:rsidSect="00CB2167">
      <w:pgSz w:w="12240" w:h="15840" w:code="1"/>
      <w:pgMar w:top="360" w:right="1440" w:bottom="720" w:left="1440" w:header="720" w:footer="36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5A4" w:rsidRDefault="008A15A4">
      <w:r>
        <w:separator/>
      </w:r>
    </w:p>
  </w:endnote>
  <w:endnote w:type="continuationSeparator" w:id="0">
    <w:p w:rsidR="008A15A4" w:rsidRDefault="008A1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27B" w:rsidRPr="00A5397A" w:rsidRDefault="00F3327B" w:rsidP="00A539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5A4" w:rsidRDefault="008A15A4">
      <w:r>
        <w:separator/>
      </w:r>
    </w:p>
  </w:footnote>
  <w:footnote w:type="continuationSeparator" w:id="0">
    <w:p w:rsidR="008A15A4" w:rsidRDefault="008A15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48DE3B4B"/>
    <w:multiLevelType w:val="multilevel"/>
    <w:tmpl w:val="8B941FF2"/>
    <w:lvl w:ilvl="0">
      <w:start w:val="1"/>
      <w:numFmt w:val="upperRoman"/>
      <w:pStyle w:val="Heading3"/>
      <w:lvlText w:val="%1."/>
      <w:lvlJc w:val="left"/>
      <w:pPr>
        <w:tabs>
          <w:tab w:val="num" w:pos="720"/>
        </w:tabs>
        <w:ind w:left="360" w:hanging="360"/>
      </w:pPr>
      <w:rPr>
        <w:rFonts w:ascii="Times New Roman" w:hAnsi="Times New Roman" w:hint="default"/>
        <w:b/>
        <w:i w:val="0"/>
        <w:sz w:val="24"/>
      </w:r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5397A"/>
    <w:rsid w:val="00156D87"/>
    <w:rsid w:val="002D1741"/>
    <w:rsid w:val="00302B51"/>
    <w:rsid w:val="00340361"/>
    <w:rsid w:val="00560674"/>
    <w:rsid w:val="005B2565"/>
    <w:rsid w:val="00640A6C"/>
    <w:rsid w:val="006527CD"/>
    <w:rsid w:val="00662EC4"/>
    <w:rsid w:val="006D0ABA"/>
    <w:rsid w:val="00805A3D"/>
    <w:rsid w:val="00821C52"/>
    <w:rsid w:val="008A15A4"/>
    <w:rsid w:val="008B6602"/>
    <w:rsid w:val="009D2717"/>
    <w:rsid w:val="00A05ECA"/>
    <w:rsid w:val="00A5397A"/>
    <w:rsid w:val="00A87D47"/>
    <w:rsid w:val="00B70BBF"/>
    <w:rsid w:val="00C2448A"/>
    <w:rsid w:val="00CB2167"/>
    <w:rsid w:val="00EB507F"/>
    <w:rsid w:val="00EE7287"/>
    <w:rsid w:val="00F33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6">
      <o:colormenu v:ext="edit" fillcolor="silver"/>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602"/>
    <w:rPr>
      <w:sz w:val="24"/>
    </w:rPr>
  </w:style>
  <w:style w:type="paragraph" w:styleId="Heading1">
    <w:name w:val="heading 1"/>
    <w:basedOn w:val="Normal"/>
    <w:next w:val="Normal"/>
    <w:qFormat/>
    <w:rsid w:val="008B6602"/>
    <w:pPr>
      <w:keepNext/>
      <w:spacing w:line="360" w:lineRule="auto"/>
      <w:outlineLvl w:val="0"/>
    </w:pPr>
    <w:rPr>
      <w:b/>
    </w:rPr>
  </w:style>
  <w:style w:type="paragraph" w:styleId="Heading2">
    <w:name w:val="heading 2"/>
    <w:basedOn w:val="Normal"/>
    <w:next w:val="Normal"/>
    <w:qFormat/>
    <w:rsid w:val="008B6602"/>
    <w:pPr>
      <w:keepNext/>
      <w:tabs>
        <w:tab w:val="left" w:pos="2520"/>
      </w:tabs>
      <w:outlineLvl w:val="1"/>
    </w:pPr>
    <w:rPr>
      <w:b/>
    </w:rPr>
  </w:style>
  <w:style w:type="paragraph" w:styleId="Heading3">
    <w:name w:val="heading 3"/>
    <w:basedOn w:val="Normal"/>
    <w:next w:val="Normal"/>
    <w:qFormat/>
    <w:rsid w:val="008B6602"/>
    <w:pPr>
      <w:keepNext/>
      <w:numPr>
        <w:numId w:val="2"/>
      </w:numPr>
      <w:spacing w:after="120"/>
      <w:outlineLvl w:val="2"/>
    </w:pPr>
    <w:rPr>
      <w:b/>
    </w:rPr>
  </w:style>
  <w:style w:type="paragraph" w:styleId="Heading4">
    <w:name w:val="heading 4"/>
    <w:basedOn w:val="Normal"/>
    <w:next w:val="Normal"/>
    <w:qFormat/>
    <w:rsid w:val="008B6602"/>
    <w:pPr>
      <w:keepNext/>
      <w:spacing w:before="120"/>
      <w:outlineLvl w:val="3"/>
    </w:pPr>
    <w:rPr>
      <w:b/>
      <w:smallCaps/>
      <w:sz w:val="26"/>
      <w:u w:val="single"/>
    </w:rPr>
  </w:style>
  <w:style w:type="paragraph" w:styleId="Heading5">
    <w:name w:val="heading 5"/>
    <w:basedOn w:val="Normal"/>
    <w:next w:val="Normal"/>
    <w:qFormat/>
    <w:rsid w:val="008B6602"/>
    <w:pPr>
      <w:keepNext/>
      <w:jc w:val="center"/>
      <w:outlineLvl w:val="4"/>
    </w:pPr>
    <w:rPr>
      <w:b/>
      <w:sz w:val="32"/>
    </w:rPr>
  </w:style>
  <w:style w:type="paragraph" w:styleId="Heading6">
    <w:name w:val="heading 6"/>
    <w:basedOn w:val="Normal"/>
    <w:next w:val="Normal"/>
    <w:qFormat/>
    <w:rsid w:val="008B6602"/>
    <w:pPr>
      <w:keepNext/>
      <w:spacing w:before="120"/>
      <w:outlineLvl w:val="5"/>
    </w:pPr>
    <w:rPr>
      <w:b/>
      <w:smallCap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6602"/>
    <w:pPr>
      <w:tabs>
        <w:tab w:val="center" w:pos="4320"/>
        <w:tab w:val="right" w:pos="8640"/>
      </w:tabs>
    </w:pPr>
  </w:style>
  <w:style w:type="paragraph" w:styleId="Footer">
    <w:name w:val="footer"/>
    <w:basedOn w:val="Normal"/>
    <w:rsid w:val="008B6602"/>
    <w:pPr>
      <w:tabs>
        <w:tab w:val="center" w:pos="4320"/>
        <w:tab w:val="right" w:pos="8640"/>
      </w:tabs>
    </w:pPr>
  </w:style>
  <w:style w:type="paragraph" w:styleId="DocumentMap">
    <w:name w:val="Document Map"/>
    <w:basedOn w:val="Normal"/>
    <w:semiHidden/>
    <w:rsid w:val="008B6602"/>
    <w:pPr>
      <w:shd w:val="clear" w:color="auto" w:fill="000080"/>
    </w:pPr>
    <w:rPr>
      <w:rFonts w:ascii="Tahoma" w:hAnsi="Tahoma"/>
    </w:rPr>
  </w:style>
  <w:style w:type="paragraph" w:styleId="BodyText">
    <w:name w:val="Body Text"/>
    <w:basedOn w:val="Normal"/>
    <w:rsid w:val="008B6602"/>
    <w:pPr>
      <w:pBdr>
        <w:top w:val="double" w:sz="4" w:space="6" w:color="auto"/>
      </w:pBdr>
    </w:pPr>
  </w:style>
  <w:style w:type="character" w:styleId="PageNumber">
    <w:name w:val="page number"/>
    <w:basedOn w:val="DefaultParagraphFont"/>
    <w:rsid w:val="008B6602"/>
  </w:style>
  <w:style w:type="paragraph" w:styleId="BalloonText">
    <w:name w:val="Balloon Text"/>
    <w:basedOn w:val="Normal"/>
    <w:semiHidden/>
    <w:rsid w:val="00CB21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454</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October 10, 1997</vt:lpstr>
    </vt:vector>
  </TitlesOfParts>
  <Company>Hathaway Brown School</Company>
  <LinksUpToDate>false</LinksUpToDate>
  <CharactersWithSpaces>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10, 1997</dc:title>
  <dc:creator>Patricia Cornacchione</dc:creator>
  <cp:lastModifiedBy>Erin Reid</cp:lastModifiedBy>
  <cp:revision>3</cp:revision>
  <cp:lastPrinted>2013-09-04T17:23:00Z</cp:lastPrinted>
  <dcterms:created xsi:type="dcterms:W3CDTF">2014-08-27T13:52:00Z</dcterms:created>
  <dcterms:modified xsi:type="dcterms:W3CDTF">2014-08-27T13:55:00Z</dcterms:modified>
</cp:coreProperties>
</file>